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05F" w:rsidRPr="00B0105F" w:rsidRDefault="00B0105F" w:rsidP="00B0105F">
      <w:pPr>
        <w:pStyle w:val="Nagwek2"/>
        <w:rPr>
          <w:rStyle w:val="Heading122"/>
          <w:rFonts w:ascii="Myriad Pro" w:hAnsi="Myriad Pro"/>
          <w:b w:val="0"/>
          <w:bCs w:val="0"/>
          <w:color w:val="auto"/>
          <w:sz w:val="20"/>
          <w:szCs w:val="20"/>
        </w:rPr>
      </w:pPr>
      <w:bookmarkStart w:id="0" w:name="_Toc195525227"/>
      <w:r w:rsidRPr="00CC135D">
        <w:rPr>
          <w:rStyle w:val="Heading122"/>
          <w:rFonts w:ascii="Myriad Pro" w:hAnsi="Myriad Pro"/>
          <w:color w:val="auto"/>
          <w:sz w:val="20"/>
          <w:szCs w:val="20"/>
        </w:rPr>
        <w:t xml:space="preserve">Załącznik nr 5 </w:t>
      </w:r>
      <w:r w:rsidRPr="00B0105F">
        <w:rPr>
          <w:rStyle w:val="Heading122"/>
          <w:rFonts w:ascii="Myriad Pro" w:hAnsi="Myriad Pro"/>
          <w:b w:val="0"/>
          <w:color w:val="auto"/>
          <w:sz w:val="20"/>
          <w:szCs w:val="20"/>
        </w:rPr>
        <w:t>Regulamin grupy roboczej Komitetu</w:t>
      </w:r>
      <w:bookmarkStart w:id="1" w:name="_GoBack"/>
      <w:bookmarkEnd w:id="0"/>
    </w:p>
    <w:bookmarkEnd w:id="1"/>
    <w:p w:rsidR="00B0105F" w:rsidRPr="00CC135D" w:rsidRDefault="00B0105F" w:rsidP="00B0105F">
      <w:pPr>
        <w:jc w:val="both"/>
        <w:rPr>
          <w:rFonts w:ascii="Myriad Pro" w:hAnsi="Myriad Pro"/>
          <w:i/>
          <w:sz w:val="20"/>
          <w:szCs w:val="20"/>
        </w:rPr>
      </w:pPr>
    </w:p>
    <w:p w:rsidR="00B0105F" w:rsidRPr="00B0105F" w:rsidRDefault="00B0105F" w:rsidP="00B0105F">
      <w:pPr>
        <w:jc w:val="center"/>
        <w:rPr>
          <w:rFonts w:ascii="Myriad Pro" w:hAnsi="Myriad Pro"/>
          <w:b/>
          <w:sz w:val="20"/>
          <w:szCs w:val="20"/>
        </w:rPr>
      </w:pPr>
      <w:bookmarkStart w:id="2" w:name="_Hlk126224530"/>
      <w:r w:rsidRPr="007903FE">
        <w:rPr>
          <w:rFonts w:ascii="Myriad Pro" w:hAnsi="Myriad Pro"/>
          <w:b/>
          <w:sz w:val="20"/>
        </w:rPr>
        <w:t xml:space="preserve">Regulamin grupy roboczej </w:t>
      </w:r>
      <w:bookmarkStart w:id="3" w:name="_Hlk126148951"/>
      <w:r w:rsidRPr="00CC135D">
        <w:rPr>
          <w:rFonts w:ascii="Myriad Pro" w:hAnsi="Myriad Pro"/>
          <w:b/>
          <w:sz w:val="20"/>
        </w:rPr>
        <w:t xml:space="preserve">Komitetu Monitorującego </w:t>
      </w:r>
      <w:r w:rsidRPr="00CC135D">
        <w:rPr>
          <w:rFonts w:ascii="Myriad Pro" w:hAnsi="Myriad Pro"/>
          <w:b/>
          <w:sz w:val="20"/>
        </w:rPr>
        <w:br/>
      </w:r>
      <w:r w:rsidRPr="00CC135D">
        <w:rPr>
          <w:rFonts w:ascii="Myriad Pro" w:hAnsi="Myriad Pro"/>
          <w:b/>
          <w:sz w:val="20"/>
          <w:szCs w:val="20"/>
        </w:rPr>
        <w:t>program regionalny Fundusze Europejskie dla Pomorza Zachodniego 2021-2027</w:t>
      </w:r>
      <w:bookmarkEnd w:id="3"/>
    </w:p>
    <w:bookmarkEnd w:id="2"/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1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  <w:szCs w:val="20"/>
        </w:rPr>
      </w:pPr>
      <w:r w:rsidRPr="00CC135D">
        <w:rPr>
          <w:rFonts w:ascii="Myriad Pro" w:hAnsi="Myriad Pro"/>
          <w:b/>
          <w:sz w:val="20"/>
          <w:szCs w:val="20"/>
        </w:rPr>
        <w:t>Powołanie grupy roboczej Komitetu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  <w:szCs w:val="20"/>
        </w:rPr>
      </w:pPr>
    </w:p>
    <w:p w:rsidR="00B0105F" w:rsidRPr="00CC135D" w:rsidRDefault="00B0105F" w:rsidP="00B0105F">
      <w:pPr>
        <w:numPr>
          <w:ilvl w:val="0"/>
          <w:numId w:val="9"/>
        </w:numPr>
        <w:tabs>
          <w:tab w:val="left" w:pos="361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Grupa robocza Komitetu, zwana dalej „grupą roboczą" jest powoływana Uchwałą Komitetu Monitorującego program regionalny Fundusze Europejskie dla Pomorza Zachodniego 2021-2027.</w:t>
      </w:r>
    </w:p>
    <w:p w:rsidR="00B0105F" w:rsidRPr="00CC135D" w:rsidRDefault="00B0105F" w:rsidP="00B0105F">
      <w:pPr>
        <w:numPr>
          <w:ilvl w:val="0"/>
          <w:numId w:val="9"/>
        </w:numPr>
        <w:tabs>
          <w:tab w:val="left" w:pos="385"/>
        </w:tabs>
        <w:spacing w:after="0" w:line="336" w:lineRule="exact"/>
        <w:ind w:left="38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Uchwała, o której mowa powyżej zawiera w szczególności:</w:t>
      </w:r>
    </w:p>
    <w:p w:rsidR="00B0105F" w:rsidRPr="00CC135D" w:rsidRDefault="00B0105F" w:rsidP="00B0105F">
      <w:pPr>
        <w:numPr>
          <w:ilvl w:val="0"/>
          <w:numId w:val="13"/>
        </w:numPr>
        <w:tabs>
          <w:tab w:val="left" w:pos="486"/>
        </w:tabs>
        <w:spacing w:after="0" w:line="336" w:lineRule="exact"/>
        <w:ind w:left="38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typ grupy roboczej (stała/ad hoc)</w:t>
      </w:r>
    </w:p>
    <w:p w:rsidR="00B0105F" w:rsidRPr="00CC135D" w:rsidRDefault="00B0105F" w:rsidP="00B0105F">
      <w:pPr>
        <w:numPr>
          <w:ilvl w:val="0"/>
          <w:numId w:val="13"/>
        </w:numPr>
        <w:tabs>
          <w:tab w:val="left" w:pos="495"/>
        </w:tabs>
        <w:spacing w:after="0" w:line="336" w:lineRule="exact"/>
        <w:ind w:left="38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nazwę grupy roboczej;</w:t>
      </w:r>
    </w:p>
    <w:p w:rsidR="00B0105F" w:rsidRPr="00CC135D" w:rsidRDefault="00B0105F" w:rsidP="00B0105F">
      <w:pPr>
        <w:numPr>
          <w:ilvl w:val="0"/>
          <w:numId w:val="13"/>
        </w:numPr>
        <w:tabs>
          <w:tab w:val="left" w:pos="486"/>
        </w:tabs>
        <w:spacing w:after="0" w:line="336" w:lineRule="exact"/>
        <w:ind w:left="38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termin funkcjonowania grupy roboczej;</w:t>
      </w:r>
    </w:p>
    <w:p w:rsidR="00B0105F" w:rsidRPr="00CC135D" w:rsidRDefault="00B0105F" w:rsidP="00B0105F">
      <w:pPr>
        <w:numPr>
          <w:ilvl w:val="0"/>
          <w:numId w:val="13"/>
        </w:numPr>
        <w:tabs>
          <w:tab w:val="left" w:pos="486"/>
        </w:tabs>
        <w:spacing w:after="0" w:line="336" w:lineRule="exact"/>
        <w:ind w:left="38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 xml:space="preserve"> zadania grupy roboczej;</w:t>
      </w:r>
    </w:p>
    <w:p w:rsidR="00B0105F" w:rsidRPr="00CC135D" w:rsidRDefault="00B0105F" w:rsidP="00B0105F">
      <w:pPr>
        <w:numPr>
          <w:ilvl w:val="1"/>
          <w:numId w:val="10"/>
        </w:numPr>
        <w:tabs>
          <w:tab w:val="left" w:pos="375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Grupa robocza powoływana jest na wniosek przewodniczącego Komitetu lub grupy członków Komitetu, liczącej co najmniej 3 osoby.</w:t>
      </w:r>
    </w:p>
    <w:p w:rsidR="00B0105F" w:rsidRPr="00CC135D" w:rsidRDefault="00B0105F" w:rsidP="00B0105F">
      <w:pPr>
        <w:numPr>
          <w:ilvl w:val="1"/>
          <w:numId w:val="10"/>
        </w:numPr>
        <w:tabs>
          <w:tab w:val="left" w:pos="385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Grupa robocza pełni swoje funkcje w terminie wskazanym w uchwale Komitetu, o której mowa w ust. 1, powołującej przedmiotową grupę, jednak nie dłużej niż w okresie realizacji FEPZ.</w:t>
      </w:r>
    </w:p>
    <w:p w:rsidR="00B0105F" w:rsidRPr="00CC135D" w:rsidRDefault="00B0105F" w:rsidP="00B0105F">
      <w:pPr>
        <w:numPr>
          <w:ilvl w:val="1"/>
          <w:numId w:val="10"/>
        </w:numPr>
        <w:tabs>
          <w:tab w:val="left" w:pos="375"/>
        </w:tabs>
        <w:spacing w:after="0" w:line="336" w:lineRule="exact"/>
        <w:ind w:left="38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Grupa robocza może mieć charakter grupy stałej lub grupy powołanej ad hoc.</w:t>
      </w:r>
    </w:p>
    <w:p w:rsidR="00B0105F" w:rsidRPr="00CC135D" w:rsidRDefault="00B0105F" w:rsidP="00B0105F">
      <w:pPr>
        <w:numPr>
          <w:ilvl w:val="1"/>
          <w:numId w:val="10"/>
        </w:numPr>
        <w:tabs>
          <w:tab w:val="left" w:pos="390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Reguły działania grupy powołanej ad hoc są tożsame z tymi dotyczącymi grup roboczych określonych w niniejszym regulaminie.</w:t>
      </w:r>
    </w:p>
    <w:p w:rsidR="00B0105F" w:rsidRPr="00CC135D" w:rsidRDefault="00B0105F" w:rsidP="00B0105F">
      <w:pPr>
        <w:numPr>
          <w:ilvl w:val="1"/>
          <w:numId w:val="10"/>
        </w:numPr>
        <w:tabs>
          <w:tab w:val="left" w:pos="375"/>
          <w:tab w:val="left" w:leader="dot" w:pos="3231"/>
          <w:tab w:val="left" w:leader="dot" w:pos="4897"/>
        </w:tabs>
        <w:spacing w:after="30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 xml:space="preserve">Grupa robocza pracuje na podstawie regulaminu grupy roboczej, ujętym w Regulaminie Komitetu. 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2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Skład i zasady uczestnictwa w pracach grupy roboczej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2"/>
          <w:numId w:val="10"/>
        </w:numPr>
        <w:tabs>
          <w:tab w:val="left" w:pos="375"/>
        </w:tabs>
        <w:spacing w:after="0" w:line="336" w:lineRule="exact"/>
        <w:ind w:left="380" w:right="2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Grupa robocza ma ograniczony liczebnie skład tj. co do zasady do dziesięciu członków, w celu zapewnienia jej operacyjności i decyzyjności.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75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 uzasadnionych przypadkach Przewodniczący Komitetu może zdecydować o zniesieniu limitu, o którym mowa w ust. 1.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75"/>
        </w:tabs>
        <w:spacing w:after="0" w:line="336" w:lineRule="exact"/>
        <w:ind w:left="38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 skład grupy roboczej wchodzą członkowie Komitetu, ich zastępcy lub obserwatorzy.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94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Na pisemne zaproszenie przewodniczącego grupy roboczej w posiedzeniu grupy mogą uczestniczyć inne osoby niebędące członkami grupy.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85"/>
        </w:tabs>
        <w:spacing w:after="0" w:line="336" w:lineRule="exact"/>
        <w:ind w:left="380" w:right="2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Pracami grupy roboczej kieruje jej Przewodniczący, który zgodnie z zasadą partnerstwa opisaną w art. 8 rozporządzenia ogólnego, zostaje wybrany pośród członków grupy roboczej.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75"/>
        </w:tabs>
        <w:spacing w:after="0" w:line="336" w:lineRule="exact"/>
        <w:ind w:left="340" w:right="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Zastępca przewodniczącego zostaje wskazany przez Przewodniczącego grupy roboczej.</w:t>
      </w:r>
    </w:p>
    <w:p w:rsidR="00B0105F" w:rsidRDefault="00B0105F" w:rsidP="00B0105F">
      <w:pPr>
        <w:numPr>
          <w:ilvl w:val="2"/>
          <w:numId w:val="10"/>
        </w:numPr>
        <w:tabs>
          <w:tab w:val="left" w:pos="390"/>
        </w:tabs>
        <w:spacing w:after="0" w:line="336" w:lineRule="exact"/>
        <w:ind w:left="340" w:right="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Sekretariat Komitetu odpowiedzialny jest za przygotowywanie sprawozdań z realizacji grupy roboczej, które są przedkładane Komitetowi raz w roku.</w:t>
      </w:r>
    </w:p>
    <w:p w:rsidR="00B0105F" w:rsidRPr="002E697A" w:rsidRDefault="00B0105F" w:rsidP="00B0105F">
      <w:pPr>
        <w:numPr>
          <w:ilvl w:val="2"/>
          <w:numId w:val="10"/>
        </w:numPr>
        <w:tabs>
          <w:tab w:val="left" w:pos="390"/>
        </w:tabs>
        <w:spacing w:after="0" w:line="336" w:lineRule="exact"/>
        <w:ind w:left="340" w:right="40" w:hanging="320"/>
        <w:jc w:val="both"/>
        <w:rPr>
          <w:rFonts w:ascii="Myriad Pro" w:hAnsi="Myriad Pro" w:cs="Trebuchet MS"/>
          <w:strike/>
          <w:sz w:val="20"/>
          <w:szCs w:val="20"/>
        </w:rPr>
      </w:pPr>
      <w:r w:rsidRPr="0020101F">
        <w:rPr>
          <w:rFonts w:ascii="Myriad Pro" w:hAnsi="Myriad Pro" w:cs="Trebuchet MS"/>
          <w:sz w:val="20"/>
          <w:szCs w:val="20"/>
        </w:rPr>
        <w:lastRenderedPageBreak/>
        <w:t>W przypadku niewypełniania obowiązków przez członka grupy roboczej, w szczególności w postaci dwóch lub więcej następujących po sobie kolejnych nieobecnościach członka grupy roboczej na posiedzeniach, przewodniczący grupy roboczej może wystąpić do Komitetu o odwołanie członka i wyznaczenie w jego miejsce nowego członka.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70"/>
        </w:tabs>
        <w:spacing w:after="0" w:line="336" w:lineRule="exact"/>
        <w:ind w:left="340" w:right="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Imienna lista członków grupy roboczej jest zamieszczana na stronie internetowej FEPZ, zgodnie                              z postanowieniami § 14 Regulaminu Komitetu.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61"/>
        </w:tabs>
        <w:spacing w:after="0" w:line="336" w:lineRule="exact"/>
        <w:ind w:left="340" w:right="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 posiedzeń grup roboczych sporządzane są protokoły udostępniane wszystkim osobom wyznaczonym do Komitetu.</w:t>
      </w:r>
    </w:p>
    <w:p w:rsidR="00B0105F" w:rsidRPr="00CC135D" w:rsidRDefault="00B0105F" w:rsidP="00B0105F">
      <w:pPr>
        <w:numPr>
          <w:ilvl w:val="2"/>
          <w:numId w:val="10"/>
        </w:numPr>
        <w:tabs>
          <w:tab w:val="left" w:pos="370"/>
        </w:tabs>
        <w:spacing w:after="300" w:line="336" w:lineRule="exact"/>
        <w:ind w:left="340" w:right="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Posiedzenia grup roboczych mogą być rejestrowane w formie zapisu dźwiękowego lub audiowizualnego na potrzeby sporządzania notatki lub protokołu.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3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Zadania grupy roboczej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3"/>
          <w:numId w:val="10"/>
        </w:numPr>
        <w:tabs>
          <w:tab w:val="left" w:pos="361"/>
        </w:tabs>
        <w:spacing w:after="0" w:line="336" w:lineRule="exact"/>
        <w:ind w:left="3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Zadania grupy roboczej obejmują w szczególności: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686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gromadzenie, wymianę oraz analizę informacji w obszarze właściwym dla danej grupy roboczej;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676"/>
        </w:tabs>
        <w:spacing w:after="0" w:line="336" w:lineRule="exact"/>
        <w:ind w:left="720" w:right="4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wypracowywanie i formułowanie wspólnych wniosków i rekomendacji w obszarze właściwym dla danej grupy roboczej;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686"/>
        </w:tabs>
        <w:spacing w:after="0" w:line="336" w:lineRule="exact"/>
        <w:ind w:left="720" w:right="4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opiniowanie projektów uchwał Komitetu dotyczących tematycznie zakresu działania grupy; taka wypracowana opinia grupy roboczej jest sprawozdawana na posiedzeniu Komitetu przed podjęciem tej uchwały przez przewodniczącego grupy roboczej lub wyznaczonego przez przewodniczącego grupy członka grupy;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00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przedkładanie Komitetowi propozycji uchwał dotyczących tematycznie zakresu działania grupy.</w:t>
      </w:r>
    </w:p>
    <w:p w:rsidR="00B0105F" w:rsidRPr="00CC135D" w:rsidRDefault="00B0105F" w:rsidP="00B0105F">
      <w:pPr>
        <w:numPr>
          <w:ilvl w:val="3"/>
          <w:numId w:val="10"/>
        </w:numPr>
        <w:tabs>
          <w:tab w:val="left" w:pos="385"/>
        </w:tabs>
        <w:spacing w:after="0" w:line="336" w:lineRule="exact"/>
        <w:ind w:left="34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Do zadań Przewodniczącego grupy roboczej należy: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7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bookmarkStart w:id="4" w:name="_Hlk187745157"/>
      <w:r w:rsidRPr="00CC135D">
        <w:rPr>
          <w:rFonts w:ascii="Myriad Pro" w:hAnsi="Myriad Pro" w:cs="Trebuchet MS"/>
          <w:sz w:val="20"/>
          <w:szCs w:val="20"/>
        </w:rPr>
        <w:t>reprezentowanie grupy roboczej w sprawach dotyczących jego działalności;</w:t>
      </w:r>
    </w:p>
    <w:bookmarkEnd w:id="4"/>
    <w:p w:rsidR="00B0105F" w:rsidRPr="00CC135D" w:rsidRDefault="00B0105F" w:rsidP="00B0105F">
      <w:pPr>
        <w:numPr>
          <w:ilvl w:val="4"/>
          <w:numId w:val="10"/>
        </w:numPr>
        <w:tabs>
          <w:tab w:val="left" w:pos="77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przewodniczenie obradom grupy roboczej;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6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proponowanie agendy posiedzeń;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7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przygotowanie stanowisk/projektów uchwał dotyczących zakresu tematycznego działania grupy;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6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zwoływanie posiedzeń, w tym wyznaczenie ich terminu i miejsca;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67"/>
        </w:tabs>
        <w:spacing w:after="0" w:line="336" w:lineRule="exact"/>
        <w:ind w:left="720" w:right="4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 xml:space="preserve">zawiadamianie, za pośrednictwem Sekretariatu Komitetu, członków grupy roboczej o miejscu </w:t>
      </w:r>
      <w:r w:rsidRPr="00CC135D">
        <w:rPr>
          <w:rFonts w:ascii="Myriad Pro" w:hAnsi="Myriad Pro" w:cs="Trebuchet MS"/>
          <w:sz w:val="20"/>
          <w:szCs w:val="20"/>
        </w:rPr>
        <w:br/>
        <w:t>i terminie spotkań;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810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zapraszanie ekspertów;</w:t>
      </w:r>
    </w:p>
    <w:p w:rsidR="00B0105F" w:rsidRPr="0020101F" w:rsidRDefault="00B0105F" w:rsidP="00B0105F">
      <w:pPr>
        <w:numPr>
          <w:ilvl w:val="4"/>
          <w:numId w:val="10"/>
        </w:numPr>
        <w:tabs>
          <w:tab w:val="left" w:pos="767"/>
        </w:tabs>
        <w:spacing w:after="0" w:line="336" w:lineRule="exact"/>
        <w:ind w:left="720" w:hanging="38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wyznaczenie swojego zastępcy;</w:t>
      </w:r>
    </w:p>
    <w:p w:rsidR="00B0105F" w:rsidRPr="00CC135D" w:rsidRDefault="00B0105F" w:rsidP="00B0105F">
      <w:pPr>
        <w:numPr>
          <w:ilvl w:val="4"/>
          <w:numId w:val="10"/>
        </w:numPr>
        <w:tabs>
          <w:tab w:val="left" w:pos="767"/>
        </w:tabs>
        <w:spacing w:after="0" w:line="336" w:lineRule="exact"/>
        <w:ind w:left="720" w:hanging="380"/>
        <w:jc w:val="both"/>
        <w:rPr>
          <w:rFonts w:ascii="Myriad Pro" w:hAnsi="Myriad Pro"/>
          <w:b/>
          <w:sz w:val="20"/>
        </w:rPr>
      </w:pPr>
      <w:r w:rsidRPr="00CC135D">
        <w:rPr>
          <w:rFonts w:ascii="Myriad Pro" w:hAnsi="Myriad Pro" w:cs="Trebuchet MS"/>
          <w:sz w:val="20"/>
          <w:szCs w:val="20"/>
        </w:rPr>
        <w:t>prze</w:t>
      </w:r>
      <w:r>
        <w:rPr>
          <w:rFonts w:ascii="Myriad Pro" w:hAnsi="Myriad Pro" w:cs="Trebuchet MS"/>
          <w:sz w:val="20"/>
          <w:szCs w:val="20"/>
        </w:rPr>
        <w:t>d</w:t>
      </w:r>
      <w:r w:rsidRPr="00CC135D">
        <w:rPr>
          <w:rFonts w:ascii="Myriad Pro" w:hAnsi="Myriad Pro" w:cs="Trebuchet MS"/>
          <w:sz w:val="20"/>
          <w:szCs w:val="20"/>
        </w:rPr>
        <w:t>kładanie Komitetowi raz do roku sprawozdania z realizacji zadań grupy roboczej.</w:t>
      </w:r>
    </w:p>
    <w:p w:rsidR="00B0105F" w:rsidRPr="00CC135D" w:rsidRDefault="00B0105F" w:rsidP="00B0105F">
      <w:pPr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4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Posiedzenia grupy roboczej</w:t>
      </w:r>
    </w:p>
    <w:p w:rsidR="00B0105F" w:rsidRPr="00CC135D" w:rsidRDefault="00B0105F" w:rsidP="00B0105F">
      <w:pPr>
        <w:jc w:val="center"/>
        <w:rPr>
          <w:rFonts w:ascii="Myriad Pro" w:hAnsi="Myriad Pro" w:cs="Trebuchet MS"/>
          <w:sz w:val="20"/>
          <w:szCs w:val="20"/>
        </w:rPr>
      </w:pPr>
    </w:p>
    <w:p w:rsidR="00B0105F" w:rsidRPr="00CC135D" w:rsidRDefault="00B0105F" w:rsidP="00B0105F">
      <w:pPr>
        <w:numPr>
          <w:ilvl w:val="3"/>
          <w:numId w:val="16"/>
        </w:numPr>
        <w:tabs>
          <w:tab w:val="left" w:pos="385"/>
        </w:tabs>
        <w:spacing w:after="0" w:line="336" w:lineRule="exact"/>
        <w:ind w:left="38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Posiedzenie grupy roboczej zwołuje przewodniczący grupy roboczej.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94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lastRenderedPageBreak/>
        <w:t xml:space="preserve">Informacje o planowanym terminie i miejscu posiedzenia przewodniczący grupy roboczej przekazuje na 15 dni roboczych przed datą spotkania drogą mailową, przesyłając wypełniony szablon zlecenia organizacji spotkania grupy roboczej, stanowiący załącznik nr 5.1 </w:t>
      </w:r>
      <w:bookmarkStart w:id="5" w:name="_Hlk180489736"/>
      <w:r w:rsidRPr="00CC135D">
        <w:rPr>
          <w:rFonts w:ascii="Myriad Pro" w:hAnsi="Myriad Pro" w:cs="Trebuchet MS"/>
          <w:sz w:val="20"/>
          <w:szCs w:val="20"/>
        </w:rPr>
        <w:t>do regulaminu grupy roboczej</w:t>
      </w:r>
      <w:bookmarkEnd w:id="5"/>
      <w:r w:rsidRPr="00CC135D">
        <w:rPr>
          <w:rFonts w:ascii="Myriad Pro" w:hAnsi="Myriad Pro" w:cs="Trebuchet MS"/>
          <w:sz w:val="20"/>
          <w:szCs w:val="20"/>
        </w:rPr>
        <w:t>, który podlega każdorazowo akceptacji przewodniczącego Komitetu.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85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Po uzgodnieniu terminu i miejsca posiedzenia Sekretariat Komitetu wysyła w drodze korespondencji elektronicznej w terminie 10 dni roboczych przed spotkaniem zaproszenie do członków grupy roboczej wraz z informacjami, o których mowa w pkt.1,2,3,4 i 8 załącznika nr 5.1 do regulaminu grupy roboczej.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80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 przypadku braku potwierdzenia przez członków grupy roboczej udziału w posiedzeniu lub ich ewentualnej nieobecności, Sekretariat Komitetu na 2 dni roboczych przed spotkaniem potwierdza ich ewentualny udział telefonicznie. Następnie Sekretariat Komitetu przekazuje otrzymane informacje do przewodniczącego grupy roboczej.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75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Zgodnie z otrzymanymi od przewodniczącego grupy roboczej informacjami, Sekretariat Komitetu zapewnia organizację posiedzenia grupy roboczej.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80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 przypadku konieczności powielenia materiałów na posiedzenie dla członków grupy roboczej, przewodniczący grupy roboczej nie później niż 3 dni robocze przed posiedzeniem, przekazuje je drogą mailową do Sekretariatu Komitetu.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90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Powielone materiały w liczbie wskazanej przez przewodniczącego grupy roboczej są dostarczane przez pracownika Sekretariatu Komitetu w terminie i miejscu posiedzenia grupy roboczej.</w:t>
      </w:r>
    </w:p>
    <w:p w:rsidR="00B0105F" w:rsidRPr="00CC135D" w:rsidRDefault="00B0105F" w:rsidP="00B0105F">
      <w:pPr>
        <w:numPr>
          <w:ilvl w:val="3"/>
          <w:numId w:val="16"/>
        </w:numPr>
        <w:tabs>
          <w:tab w:val="left" w:pos="370"/>
        </w:tabs>
        <w:spacing w:after="30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Pracownik Sekretariatu Komitetu odpowiedzialny jest za realizację zadań zgodnie z § 6.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5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Sposób wyrażania opinii/stanowiska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0"/>
          <w:numId w:val="11"/>
        </w:numPr>
        <w:tabs>
          <w:tab w:val="left" w:pos="361"/>
        </w:tabs>
        <w:spacing w:after="0" w:line="336" w:lineRule="exact"/>
        <w:ind w:left="380" w:right="4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Opinie grupy roboczej wyrażane są w formie stanowisk/opinii wraz z uzasadnieniami i przekładane                              są Komitetowi podczas jego posiedzeń.</w:t>
      </w:r>
    </w:p>
    <w:p w:rsidR="00B0105F" w:rsidRPr="00CC135D" w:rsidRDefault="00B0105F" w:rsidP="00B0105F">
      <w:pPr>
        <w:numPr>
          <w:ilvl w:val="0"/>
          <w:numId w:val="11"/>
        </w:numPr>
        <w:tabs>
          <w:tab w:val="left" w:pos="375"/>
        </w:tabs>
        <w:spacing w:after="0" w:line="336" w:lineRule="exact"/>
        <w:ind w:left="38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Głosowanie jest formą akceptacji w odniesieniu do każdego stanowiska/opinii grupy roboczej.</w:t>
      </w:r>
    </w:p>
    <w:p w:rsidR="00B0105F" w:rsidRPr="00CC135D" w:rsidRDefault="00B0105F" w:rsidP="00B0105F">
      <w:pPr>
        <w:numPr>
          <w:ilvl w:val="0"/>
          <w:numId w:val="11"/>
        </w:numPr>
        <w:tabs>
          <w:tab w:val="left" w:pos="385"/>
        </w:tabs>
        <w:spacing w:after="0" w:line="336" w:lineRule="exact"/>
        <w:ind w:left="380" w:right="-32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Kworum wymagane do akceptacji stanowisk/opinii grupy roboczej jest zapewnione, gdy w posiedzeniu grupy roboczej uczestniczy co najmniej połowa składu grupy.</w:t>
      </w:r>
    </w:p>
    <w:p w:rsidR="00B0105F" w:rsidRPr="00CC135D" w:rsidRDefault="00B0105F" w:rsidP="00B0105F">
      <w:pPr>
        <w:numPr>
          <w:ilvl w:val="0"/>
          <w:numId w:val="11"/>
        </w:numPr>
        <w:tabs>
          <w:tab w:val="left" w:pos="385"/>
        </w:tabs>
        <w:spacing w:after="0" w:line="336" w:lineRule="exact"/>
        <w:ind w:left="380" w:right="-32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W przypadku formułowania stanowisk/opinii grupy roboczej, za wypracowane i zaakceptowane stanowisko/opinię grupy roboczej uważa się stanowisko/opinię, która uzyska zwykłą większość głosów członków grupy, co będzie wyrażone poprzez złożenie podpisów na wypracowanym stanowisku/opinii, przedkładanym Komitetowi.</w:t>
      </w:r>
    </w:p>
    <w:p w:rsidR="00B0105F" w:rsidRPr="00CC135D" w:rsidRDefault="00B0105F" w:rsidP="00B0105F">
      <w:pPr>
        <w:numPr>
          <w:ilvl w:val="0"/>
          <w:numId w:val="11"/>
        </w:numPr>
        <w:tabs>
          <w:tab w:val="left" w:pos="375"/>
        </w:tabs>
        <w:spacing w:after="0" w:line="336" w:lineRule="exact"/>
        <w:ind w:left="380" w:right="-32" w:hanging="360"/>
        <w:jc w:val="both"/>
        <w:rPr>
          <w:rFonts w:ascii="Myriad Pro" w:hAnsi="Myriad Pro" w:cs="Trebuchet MS"/>
          <w:b/>
          <w:bCs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 xml:space="preserve">Z posiedzeń grup roboczych sporządzane są protokoły udostępniane wszystkim członkom Komitetu. </w:t>
      </w:r>
    </w:p>
    <w:p w:rsidR="00B0105F" w:rsidRPr="00CC135D" w:rsidRDefault="00B0105F" w:rsidP="00B0105F">
      <w:pPr>
        <w:rPr>
          <w:rFonts w:ascii="Myriad Pro" w:hAnsi="Myriad Pro" w:cs="Trebuchet MS"/>
          <w:b/>
          <w:bCs/>
          <w:sz w:val="20"/>
          <w:szCs w:val="20"/>
        </w:rPr>
      </w:pP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6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Obsługa grupy roboczej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1"/>
          <w:numId w:val="11"/>
        </w:numPr>
        <w:tabs>
          <w:tab w:val="left" w:pos="328"/>
        </w:tabs>
        <w:spacing w:after="0" w:line="336" w:lineRule="exact"/>
        <w:ind w:left="34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Obsługę organizacyjną i techniczną prac grupy roboczej zapewnia Sekretariat Komitetu znajdujący się              w Wydziale Zarządzania Strategicznego Urzędu Marszałkowskiego Województwa Zachodniopomorskiego.</w:t>
      </w:r>
    </w:p>
    <w:p w:rsidR="00B0105F" w:rsidRPr="00CC135D" w:rsidRDefault="00B0105F" w:rsidP="00B0105F">
      <w:pPr>
        <w:numPr>
          <w:ilvl w:val="1"/>
          <w:numId w:val="11"/>
        </w:numPr>
        <w:tabs>
          <w:tab w:val="left" w:pos="328"/>
        </w:tabs>
        <w:spacing w:after="0" w:line="336" w:lineRule="exact"/>
        <w:ind w:left="34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lastRenderedPageBreak/>
        <w:t>Do zadań Sekretariatu Komitetu w odniesieniu do prac grupy roboczej należy w szczególności:</w:t>
      </w:r>
    </w:p>
    <w:p w:rsidR="00B0105F" w:rsidRPr="00CC135D" w:rsidRDefault="00B0105F" w:rsidP="00B0105F">
      <w:pPr>
        <w:numPr>
          <w:ilvl w:val="2"/>
          <w:numId w:val="11"/>
        </w:numPr>
        <w:tabs>
          <w:tab w:val="left" w:pos="686"/>
        </w:tabs>
        <w:spacing w:after="0" w:line="336" w:lineRule="exact"/>
        <w:ind w:left="660" w:right="2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zawiadamianie członków grupy roboczej o miejscu i terminie spotkania na podstawie informacji uzyskanych zgodnie z § 4 ust. 5 regulaminu grupy;</w:t>
      </w:r>
    </w:p>
    <w:p w:rsidR="00B0105F" w:rsidRPr="00CC135D" w:rsidRDefault="00B0105F" w:rsidP="00B0105F">
      <w:pPr>
        <w:numPr>
          <w:ilvl w:val="2"/>
          <w:numId w:val="11"/>
        </w:numPr>
        <w:tabs>
          <w:tab w:val="left" w:pos="676"/>
        </w:tabs>
        <w:spacing w:after="0" w:line="336" w:lineRule="exact"/>
        <w:ind w:left="660" w:right="2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dostarczenie członkom grupy roboczej drogą korespondencji elektronicznej materiałów i projektów dokumentów przeznaczonych do rozpatrzenia/oceny przez grupy roboczej, otrzymane od przewodniczącego grupy roboczej;</w:t>
      </w:r>
    </w:p>
    <w:p w:rsidR="00B0105F" w:rsidRPr="00CC135D" w:rsidRDefault="00B0105F" w:rsidP="00B0105F">
      <w:pPr>
        <w:numPr>
          <w:ilvl w:val="2"/>
          <w:numId w:val="11"/>
        </w:numPr>
        <w:tabs>
          <w:tab w:val="left" w:pos="695"/>
        </w:tabs>
        <w:spacing w:after="0" w:line="336" w:lineRule="exact"/>
        <w:ind w:left="660" w:right="2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powielanie materiałów w liczbie wskazanej przez przewodniczącego grupy roboczej i dostarczanie przez pracownika Sekretariatu Komitetu na czas i miejsce posiedzenia grupy roboczej;</w:t>
      </w:r>
    </w:p>
    <w:p w:rsidR="00B0105F" w:rsidRPr="00CC135D" w:rsidRDefault="00B0105F" w:rsidP="00B0105F">
      <w:pPr>
        <w:numPr>
          <w:ilvl w:val="2"/>
          <w:numId w:val="11"/>
        </w:numPr>
        <w:tabs>
          <w:tab w:val="left" w:pos="695"/>
        </w:tabs>
        <w:spacing w:after="0" w:line="336" w:lineRule="exact"/>
        <w:ind w:left="66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przygotowywanie i obsługa grup roboczych Komitetu, w tym:</w:t>
      </w:r>
    </w:p>
    <w:p w:rsidR="00B0105F" w:rsidRPr="00CC135D" w:rsidRDefault="00B0105F" w:rsidP="00B0105F">
      <w:pPr>
        <w:numPr>
          <w:ilvl w:val="0"/>
          <w:numId w:val="14"/>
        </w:numPr>
        <w:tabs>
          <w:tab w:val="left" w:pos="993"/>
        </w:tabs>
        <w:spacing w:after="0" w:line="336" w:lineRule="exact"/>
        <w:ind w:left="6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zapewnienie sali i jej wyposażenia oraz usług gastronomicznych;</w:t>
      </w:r>
    </w:p>
    <w:p w:rsidR="00B0105F" w:rsidRPr="00CC135D" w:rsidRDefault="00B0105F" w:rsidP="00B0105F">
      <w:pPr>
        <w:numPr>
          <w:ilvl w:val="0"/>
          <w:numId w:val="14"/>
        </w:numPr>
        <w:tabs>
          <w:tab w:val="left" w:pos="993"/>
        </w:tabs>
        <w:spacing w:after="0" w:line="336" w:lineRule="exact"/>
        <w:ind w:left="6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kontakt z podwykonawcami usług gastronomicznych i hotelarskich;</w:t>
      </w:r>
    </w:p>
    <w:p w:rsidR="00B0105F" w:rsidRPr="00CC135D" w:rsidRDefault="00B0105F" w:rsidP="00B0105F">
      <w:pPr>
        <w:numPr>
          <w:ilvl w:val="0"/>
          <w:numId w:val="14"/>
        </w:numPr>
        <w:tabs>
          <w:tab w:val="left" w:pos="993"/>
        </w:tabs>
        <w:spacing w:after="0" w:line="336" w:lineRule="exact"/>
        <w:ind w:left="6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dostarczenie listy obecności oraz koordynacja jej podpisania;</w:t>
      </w:r>
    </w:p>
    <w:p w:rsidR="00B0105F" w:rsidRPr="00CC135D" w:rsidRDefault="00B0105F" w:rsidP="00B0105F">
      <w:pPr>
        <w:numPr>
          <w:ilvl w:val="1"/>
          <w:numId w:val="12"/>
        </w:numPr>
        <w:tabs>
          <w:tab w:val="left" w:pos="686"/>
        </w:tabs>
        <w:spacing w:after="0" w:line="336" w:lineRule="exact"/>
        <w:ind w:left="660" w:right="2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zapewnienie zwrotu kosztów dojazdu i noclegu, jeżeli obrady odbywają się poza miejscem zamieszkania członka grupy roboczej w przypadku, gdy Sekretariat Komitetu nie zapewnia dojazdu oraz noclegu;</w:t>
      </w:r>
    </w:p>
    <w:p w:rsidR="00B0105F" w:rsidRPr="00CC135D" w:rsidRDefault="00B0105F" w:rsidP="00B0105F">
      <w:pPr>
        <w:numPr>
          <w:ilvl w:val="1"/>
          <w:numId w:val="12"/>
        </w:numPr>
        <w:tabs>
          <w:tab w:val="left" w:pos="690"/>
        </w:tabs>
        <w:spacing w:after="296" w:line="336" w:lineRule="exact"/>
        <w:ind w:left="660" w:hanging="32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zlecanie wykonania ekspertyz i organizowanie szkoleń na potrzeby prac grup roboczych.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7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Honoraria i wynagradzanie członków grupy roboczej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2"/>
          <w:numId w:val="12"/>
        </w:numPr>
        <w:tabs>
          <w:tab w:val="left" w:pos="381"/>
        </w:tabs>
        <w:spacing w:after="0" w:line="341" w:lineRule="exact"/>
        <w:ind w:left="340" w:right="2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Członkowie GR, wykonują swoje obowiązki związane z udziałem w spotkaniach grupy roboczej nieodpłatnie.</w:t>
      </w:r>
    </w:p>
    <w:p w:rsidR="00B0105F" w:rsidRPr="00CC135D" w:rsidRDefault="00B0105F" w:rsidP="00B0105F">
      <w:pPr>
        <w:numPr>
          <w:ilvl w:val="2"/>
          <w:numId w:val="12"/>
        </w:numPr>
        <w:tabs>
          <w:tab w:val="left" w:pos="381"/>
        </w:tabs>
        <w:spacing w:after="0" w:line="341" w:lineRule="exact"/>
        <w:ind w:left="340" w:right="2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Koszty związane z udziałem w posiedzeniach grup roboczych ekspertów zaproszonych przez przewodniczących grup, wymagają zgody Przewodniczącego Komitetu.</w:t>
      </w:r>
    </w:p>
    <w:p w:rsidR="00B0105F" w:rsidRPr="00CC135D" w:rsidRDefault="00B0105F" w:rsidP="00B0105F">
      <w:pPr>
        <w:numPr>
          <w:ilvl w:val="2"/>
          <w:numId w:val="12"/>
        </w:numPr>
        <w:tabs>
          <w:tab w:val="left" w:pos="405"/>
        </w:tabs>
        <w:spacing w:after="0" w:line="341" w:lineRule="exact"/>
        <w:ind w:left="34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Koszty obsługi grupy roboczej podlegają finansowaniu ze środków pomocy technicznej FEPZ.</w:t>
      </w:r>
    </w:p>
    <w:p w:rsidR="00B0105F" w:rsidRPr="00CC135D" w:rsidRDefault="00B0105F" w:rsidP="00B0105F">
      <w:pPr>
        <w:numPr>
          <w:ilvl w:val="2"/>
          <w:numId w:val="12"/>
        </w:numPr>
        <w:tabs>
          <w:tab w:val="left" w:pos="405"/>
        </w:tabs>
        <w:spacing w:after="437" w:line="341" w:lineRule="exact"/>
        <w:ind w:left="340" w:right="20" w:hanging="30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Do refundacji kosztów bezpośrednio związanych z udziałem w spotkaniach grupy roboczej oraz kosztów szkoleń i ekspertyz dla członków grupy roboczej stosuje się odpowiednio Regulamin Komitetu w zakresie finansowania funkcjonowania Komitetu ze środków pomocy technicznej, zgodnie z załącznikiem nr 6 do Regulaminu Komitetu.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8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Jawność i przejrzystość prac Komitetu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pStyle w:val="Akapitzlist"/>
        <w:numPr>
          <w:ilvl w:val="3"/>
          <w:numId w:val="12"/>
        </w:numPr>
        <w:spacing w:line="341" w:lineRule="exact"/>
        <w:ind w:left="340" w:right="20" w:hanging="300"/>
        <w:jc w:val="both"/>
        <w:rPr>
          <w:rFonts w:ascii="Myriad Pro" w:hAnsi="Myriad Pro" w:cs="Trebuchet MS"/>
          <w:color w:val="auto"/>
          <w:sz w:val="20"/>
          <w:szCs w:val="20"/>
        </w:rPr>
      </w:pPr>
      <w:r w:rsidRPr="00CC135D">
        <w:rPr>
          <w:rFonts w:ascii="Myriad Pro" w:hAnsi="Myriad Pro" w:cs="Trebuchet MS"/>
          <w:color w:val="auto"/>
          <w:sz w:val="20"/>
          <w:szCs w:val="20"/>
        </w:rPr>
        <w:t>IZ FEPZ, za pośrednictwem Sekretariatu Komitetu, zamieszcza na stronie internetowej FEPZ informacje             o powołanych grupach roboczych, w tym o ich składzie i pracach.</w:t>
      </w:r>
    </w:p>
    <w:p w:rsidR="00B0105F" w:rsidRPr="00CC135D" w:rsidRDefault="00B0105F" w:rsidP="00B0105F">
      <w:pPr>
        <w:pStyle w:val="Akapitzlist"/>
        <w:spacing w:line="341" w:lineRule="exact"/>
        <w:ind w:left="340" w:right="20"/>
        <w:jc w:val="both"/>
        <w:rPr>
          <w:rFonts w:ascii="Myriad Pro" w:hAnsi="Myriad Pro" w:cs="Trebuchet MS"/>
          <w:b/>
          <w:bCs/>
          <w:color w:val="auto"/>
          <w:sz w:val="20"/>
          <w:szCs w:val="20"/>
        </w:rPr>
      </w:pPr>
    </w:p>
    <w:p w:rsidR="00B0105F" w:rsidRPr="00CC135D" w:rsidRDefault="00B0105F" w:rsidP="00B0105F">
      <w:pPr>
        <w:spacing w:after="0"/>
        <w:ind w:left="3600" w:firstLine="720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§ 9</w:t>
      </w:r>
    </w:p>
    <w:p w:rsidR="00B0105F" w:rsidRPr="00CC135D" w:rsidRDefault="00B0105F" w:rsidP="00B0105F">
      <w:pPr>
        <w:spacing w:after="0"/>
        <w:jc w:val="center"/>
        <w:rPr>
          <w:rFonts w:ascii="Myriad Pro" w:hAnsi="Myriad Pro"/>
          <w:b/>
          <w:sz w:val="20"/>
        </w:rPr>
      </w:pPr>
      <w:r w:rsidRPr="00CC135D">
        <w:rPr>
          <w:rFonts w:ascii="Myriad Pro" w:hAnsi="Myriad Pro"/>
          <w:b/>
          <w:sz w:val="20"/>
        </w:rPr>
        <w:t>Postanowienia końcowe</w:t>
      </w:r>
    </w:p>
    <w:p w:rsidR="00B0105F" w:rsidRPr="00CC135D" w:rsidRDefault="00B0105F" w:rsidP="00B0105F">
      <w:pPr>
        <w:jc w:val="center"/>
        <w:rPr>
          <w:rFonts w:ascii="Myriad Pro" w:hAnsi="Myriad Pro"/>
          <w:b/>
          <w:sz w:val="20"/>
        </w:rPr>
      </w:pPr>
    </w:p>
    <w:p w:rsidR="00B0105F" w:rsidRPr="00CC135D" w:rsidRDefault="00B0105F" w:rsidP="00B0105F">
      <w:pPr>
        <w:numPr>
          <w:ilvl w:val="3"/>
          <w:numId w:val="15"/>
        </w:numPr>
        <w:tabs>
          <w:tab w:val="left" w:pos="350"/>
        </w:tabs>
        <w:spacing w:after="0" w:line="341" w:lineRule="exact"/>
        <w:ind w:left="360" w:right="200" w:hanging="360"/>
        <w:jc w:val="both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lastRenderedPageBreak/>
        <w:t>Na wniosek przewodniczącego grupy roboczej lub na wniosek co najmniej połowy członków grupy roboczej, sformułowany jako stanowisko, Komitet może podjąć uchwałę o zmianie niniejszego regulaminu.</w:t>
      </w:r>
    </w:p>
    <w:p w:rsidR="00B0105F" w:rsidRDefault="00B0105F" w:rsidP="00B0105F">
      <w:pPr>
        <w:numPr>
          <w:ilvl w:val="3"/>
          <w:numId w:val="15"/>
        </w:numPr>
        <w:tabs>
          <w:tab w:val="left" w:pos="365"/>
        </w:tabs>
        <w:spacing w:after="0" w:line="341" w:lineRule="exact"/>
        <w:ind w:left="360" w:hanging="360"/>
        <w:rPr>
          <w:rFonts w:ascii="Myriad Pro" w:hAnsi="Myriad Pro" w:cs="Trebuchet MS"/>
          <w:sz w:val="20"/>
          <w:szCs w:val="20"/>
        </w:rPr>
      </w:pPr>
      <w:r w:rsidRPr="00CC135D">
        <w:rPr>
          <w:rFonts w:ascii="Myriad Pro" w:hAnsi="Myriad Pro" w:cs="Trebuchet MS"/>
          <w:sz w:val="20"/>
          <w:szCs w:val="20"/>
        </w:rPr>
        <w:t>Regulamin wchodzi w życie z dniem podjęcia uchwał</w:t>
      </w:r>
      <w:r>
        <w:rPr>
          <w:rFonts w:ascii="Myriad Pro" w:hAnsi="Myriad Pro" w:cs="Trebuchet MS"/>
          <w:sz w:val="20"/>
          <w:szCs w:val="20"/>
        </w:rPr>
        <w:t>.</w:t>
      </w:r>
    </w:p>
    <w:p w:rsidR="007248A0" w:rsidRPr="007248A0" w:rsidRDefault="007248A0" w:rsidP="00B0105F">
      <w:pPr>
        <w:spacing w:after="0" w:line="360" w:lineRule="auto"/>
        <w:jc w:val="both"/>
      </w:pPr>
    </w:p>
    <w:sectPr w:rsidR="007248A0" w:rsidRPr="007248A0" w:rsidSect="00B0105F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8A0" w:rsidRDefault="007248A0" w:rsidP="007248A0">
      <w:pPr>
        <w:spacing w:after="0" w:line="240" w:lineRule="auto"/>
      </w:pPr>
      <w:r>
        <w:separator/>
      </w:r>
    </w:p>
  </w:endnote>
  <w:end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8A0" w:rsidRDefault="007248A0" w:rsidP="007248A0">
      <w:pPr>
        <w:spacing w:after="0" w:line="240" w:lineRule="auto"/>
      </w:pPr>
      <w:r>
        <w:separator/>
      </w:r>
    </w:p>
  </w:footnote>
  <w:foot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Default="00B0105F">
    <w:pPr>
      <w:pStyle w:val="Headerorfooter0"/>
      <w:framePr w:w="12018" w:h="149" w:wrap="none" w:vAnchor="text" w:hAnchor="page" w:x="1" w:y="2027"/>
      <w:shd w:val="clear" w:color="auto" w:fill="auto"/>
      <w:ind w:left="5851"/>
    </w:pPr>
    <w:r>
      <w:rPr>
        <w:rStyle w:val="HeaderorfooterTrebuchetMS4"/>
      </w:rPr>
      <w:t>§</w:t>
    </w:r>
    <w:r>
      <w:fldChar w:fldCharType="begin"/>
    </w:r>
    <w:r>
      <w:instrText xml:space="preserve"> PAGE \* MERGEFORMAT </w:instrText>
    </w:r>
    <w:r>
      <w:fldChar w:fldCharType="separate"/>
    </w:r>
    <w:r>
      <w:rPr>
        <w:rStyle w:val="HeaderorfooterTrebuchetMS4"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Pr="00D16011" w:rsidRDefault="00B0105F" w:rsidP="00D160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05F" w:rsidRDefault="00B01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D324862E"/>
    <w:lvl w:ilvl="0">
      <w:start w:val="1"/>
      <w:numFmt w:val="decimal"/>
      <w:lvlText w:val="%1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F"/>
    <w:multiLevelType w:val="multilevel"/>
    <w:tmpl w:val="38AC93B2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11"/>
    <w:multiLevelType w:val="multilevel"/>
    <w:tmpl w:val="E506DD86"/>
    <w:lvl w:ilvl="0">
      <w:start w:val="1"/>
      <w:numFmt w:val="decimal"/>
      <w:lvlText w:val="%1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3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3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13"/>
    <w:multiLevelType w:val="multilevel"/>
    <w:tmpl w:val="B1A81F20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3103A94"/>
    <w:multiLevelType w:val="hybridMultilevel"/>
    <w:tmpl w:val="F1607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06ED3"/>
    <w:multiLevelType w:val="hybridMultilevel"/>
    <w:tmpl w:val="60109C88"/>
    <w:lvl w:ilvl="0" w:tplc="C09A59B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4FF2AD3"/>
    <w:multiLevelType w:val="multilevel"/>
    <w:tmpl w:val="CBBC87F8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" w15:restartNumberingAfterBreak="0">
    <w:nsid w:val="1E606FFA"/>
    <w:multiLevelType w:val="multilevel"/>
    <w:tmpl w:val="923EEF5C"/>
    <w:lvl w:ilvl="0">
      <w:start w:val="1"/>
      <w:numFmt w:val="bullet"/>
      <w:lvlText w:val="-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8" w15:restartNumberingAfterBreak="0">
    <w:nsid w:val="2B411A9E"/>
    <w:multiLevelType w:val="hybridMultilevel"/>
    <w:tmpl w:val="9EB2B7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0609D5"/>
    <w:multiLevelType w:val="multilevel"/>
    <w:tmpl w:val="B8DC5E0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lowerLetter"/>
      <w:lvlText w:val="%2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8"/>
      <w:numFmt w:val="decimal"/>
      <w:lvlText w:val="%5.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7)"/>
      <w:lvlJc w:val="left"/>
      <w:rPr>
        <w:rFonts w:ascii="Myriad Pro" w:hAnsi="Myriad Pro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7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0" w15:restartNumberingAfterBreak="0">
    <w:nsid w:val="3F240D35"/>
    <w:multiLevelType w:val="hybridMultilevel"/>
    <w:tmpl w:val="B1569BAA"/>
    <w:lvl w:ilvl="0" w:tplc="0A7C99C8">
      <w:start w:val="1"/>
      <w:numFmt w:val="lowerLetter"/>
      <w:lvlText w:val="%1."/>
      <w:lvlJc w:val="left"/>
      <w:pPr>
        <w:ind w:left="825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4B16538C"/>
    <w:multiLevelType w:val="hybridMultilevel"/>
    <w:tmpl w:val="CDF01788"/>
    <w:lvl w:ilvl="0" w:tplc="0415001B">
      <w:start w:val="1"/>
      <w:numFmt w:val="lowerRoman"/>
      <w:lvlText w:val="%1."/>
      <w:lvlJc w:val="righ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527A4EA5"/>
    <w:multiLevelType w:val="hybridMultilevel"/>
    <w:tmpl w:val="3D681ECA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D8912C4"/>
    <w:multiLevelType w:val="hybridMultilevel"/>
    <w:tmpl w:val="57943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A5EAA"/>
    <w:multiLevelType w:val="hybridMultilevel"/>
    <w:tmpl w:val="BF0A9A5C"/>
    <w:lvl w:ilvl="0" w:tplc="0A7C99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95BBD"/>
    <w:multiLevelType w:val="multilevel"/>
    <w:tmpl w:val="657E25A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5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1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15"/>
  </w:num>
  <w:num w:numId="14">
    <w:abstractNumId w:val="9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A0"/>
    <w:rsid w:val="00635BE3"/>
    <w:rsid w:val="007248A0"/>
    <w:rsid w:val="00B0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EED0"/>
  <w15:chartTrackingRefBased/>
  <w15:docId w15:val="{56691CA1-7345-452C-B85A-34E04FA4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105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8A0"/>
  </w:style>
  <w:style w:type="paragraph" w:styleId="Stopka">
    <w:name w:val="footer"/>
    <w:basedOn w:val="Normalny"/>
    <w:link w:val="Stopka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8A0"/>
  </w:style>
  <w:style w:type="character" w:customStyle="1" w:styleId="Bodytext9">
    <w:name w:val="Body text (9)"/>
    <w:basedOn w:val="Domylnaczcionkaakapitu"/>
    <w:uiPriority w:val="99"/>
    <w:rsid w:val="00635BE3"/>
    <w:rPr>
      <w:rFonts w:ascii="Trebuchet MS" w:hAnsi="Trebuchet MS" w:cs="Trebuchet MS"/>
      <w:spacing w:val="0"/>
      <w:sz w:val="17"/>
      <w:szCs w:val="17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5B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BE3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BE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010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Headerorfooter">
    <w:name w:val="Header or footer_"/>
    <w:basedOn w:val="Domylnaczcionkaakapitu"/>
    <w:link w:val="Headerorfooter0"/>
    <w:uiPriority w:val="99"/>
    <w:rsid w:val="00B0105F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Heading122">
    <w:name w:val="Heading #1 (2)2"/>
    <w:basedOn w:val="Domylnaczcionkaakapitu"/>
    <w:uiPriority w:val="99"/>
    <w:rsid w:val="00B0105F"/>
    <w:rPr>
      <w:rFonts w:ascii="Trebuchet MS" w:hAnsi="Trebuchet MS" w:cs="Trebuchet MS"/>
      <w:b/>
      <w:bCs/>
      <w:spacing w:val="0"/>
      <w:sz w:val="17"/>
      <w:szCs w:val="17"/>
    </w:rPr>
  </w:style>
  <w:style w:type="character" w:customStyle="1" w:styleId="HeaderorfooterTrebuchetMS4">
    <w:name w:val="Header or footer + Trebuchet MS4"/>
    <w:aliases w:val="82,5 pt3,Bold1"/>
    <w:basedOn w:val="Headerorfooter"/>
    <w:uiPriority w:val="99"/>
    <w:rsid w:val="00B0105F"/>
    <w:rPr>
      <w:rFonts w:ascii="Trebuchet MS" w:hAnsi="Trebuchet MS" w:cs="Trebuchet MS"/>
      <w:b/>
      <w:bCs/>
      <w:spacing w:val="0"/>
      <w:sz w:val="17"/>
      <w:szCs w:val="17"/>
      <w:shd w:val="clear" w:color="auto" w:fill="FFFFFF"/>
    </w:rPr>
  </w:style>
  <w:style w:type="paragraph" w:customStyle="1" w:styleId="Headerorfooter0">
    <w:name w:val="Header or footer"/>
    <w:basedOn w:val="Normalny"/>
    <w:link w:val="Headerorfooter"/>
    <w:uiPriority w:val="99"/>
    <w:rsid w:val="00B0105F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0105F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0105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2025-04-15T07:33:00Z</dcterms:created>
  <dcterms:modified xsi:type="dcterms:W3CDTF">2025-04-15T07:33:00Z</dcterms:modified>
</cp:coreProperties>
</file>